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4B68D" w14:textId="77777777" w:rsidR="00A14361" w:rsidRDefault="00A14361">
      <w:pPr>
        <w:rPr>
          <w:rFonts w:ascii="Arial" w:eastAsia="Arial" w:hAnsi="Arial" w:cs="Arial"/>
          <w:b/>
          <w:sz w:val="36"/>
          <w:szCs w:val="36"/>
        </w:rPr>
      </w:pPr>
      <w:bookmarkStart w:id="0" w:name="_heading=h.gjdgxs" w:colFirst="0" w:colLast="0"/>
      <w:bookmarkStart w:id="1" w:name="_GoBack"/>
      <w:bookmarkEnd w:id="0"/>
      <w:bookmarkEnd w:id="1"/>
    </w:p>
    <w:p w14:paraId="27AC0296" w14:textId="77777777" w:rsidR="00A14361" w:rsidRDefault="007E469D">
      <w:pPr>
        <w:rPr>
          <w:rFonts w:ascii="Arial" w:eastAsia="Arial" w:hAnsi="Arial" w:cs="Arial"/>
          <w:b/>
          <w:sz w:val="36"/>
          <w:szCs w:val="36"/>
        </w:rPr>
      </w:pPr>
      <w:bookmarkStart w:id="2" w:name="_heading=h.30j0zll" w:colFirst="0" w:colLast="0"/>
      <w:bookmarkEnd w:id="2"/>
      <w:r>
        <w:rPr>
          <w:rFonts w:ascii="Arial" w:eastAsia="Arial" w:hAnsi="Arial" w:cs="Arial"/>
          <w:b/>
          <w:sz w:val="36"/>
          <w:szCs w:val="36"/>
        </w:rPr>
        <w:t>Call-Off Schedule 2 (Staff Transfer)</w:t>
      </w:r>
    </w:p>
    <w:p w14:paraId="026BF91B" w14:textId="77777777" w:rsidR="00A14361" w:rsidRDefault="007E469D">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340381C" w14:textId="77777777" w:rsidR="00A14361" w:rsidRDefault="007E469D">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A14361" w14:paraId="3F188DA9" w14:textId="77777777">
        <w:tc>
          <w:tcPr>
            <w:tcW w:w="2917" w:type="dxa"/>
          </w:tcPr>
          <w:p w14:paraId="51B53F99" w14:textId="77777777" w:rsidR="00A14361" w:rsidRDefault="007E469D">
            <w:pPr>
              <w:pBdr>
                <w:top w:val="nil"/>
                <w:left w:val="nil"/>
                <w:bottom w:val="nil"/>
                <w:right w:val="nil"/>
                <w:between w:val="nil"/>
              </w:pBdr>
              <w:spacing w:after="0"/>
              <w:ind w:left="141" w:right="118" w:firstLine="0"/>
              <w:jc w:val="center"/>
              <w:rPr>
                <w:rFonts w:ascii="Arial" w:eastAsia="Arial" w:hAnsi="Arial" w:cs="Arial"/>
                <w:b/>
                <w:sz w:val="24"/>
                <w:szCs w:val="24"/>
              </w:rPr>
            </w:pPr>
            <w:r>
              <w:rPr>
                <w:rFonts w:ascii="Arial" w:eastAsia="Arial" w:hAnsi="Arial" w:cs="Arial"/>
                <w:b/>
                <w:sz w:val="24"/>
                <w:szCs w:val="24"/>
              </w:rPr>
              <w:t xml:space="preserve">“Acquired Rights Directive” </w:t>
            </w:r>
          </w:p>
        </w:tc>
        <w:tc>
          <w:tcPr>
            <w:tcW w:w="6109" w:type="dxa"/>
          </w:tcPr>
          <w:p w14:paraId="3155AE9D" w14:textId="77777777" w:rsidR="00A14361" w:rsidRDefault="007E469D">
            <w:pPr>
              <w:tabs>
                <w:tab w:val="left" w:pos="-179"/>
                <w:tab w:val="left" w:pos="-9"/>
              </w:tabs>
              <w:spacing w:after="120"/>
              <w:ind w:left="0" w:right="53" w:firstLine="0"/>
              <w:rPr>
                <w:rFonts w:ascii="Arial" w:eastAsia="Arial" w:hAnsi="Arial" w:cs="Arial"/>
                <w:sz w:val="24"/>
                <w:szCs w:val="24"/>
              </w:rPr>
            </w:pPr>
            <w:r>
              <w:rPr>
                <w:rFonts w:ascii="Arial" w:eastAsia="Arial" w:hAnsi="Arial" w:cs="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A14361" w14:paraId="24D42143" w14:textId="77777777">
        <w:tc>
          <w:tcPr>
            <w:tcW w:w="2917" w:type="dxa"/>
          </w:tcPr>
          <w:p w14:paraId="2BFF50F5" w14:textId="77777777" w:rsidR="00A14361" w:rsidRDefault="007E469D">
            <w:pPr>
              <w:pBdr>
                <w:top w:val="nil"/>
                <w:left w:val="nil"/>
                <w:bottom w:val="nil"/>
                <w:right w:val="nil"/>
                <w:between w:val="nil"/>
              </w:pBdr>
              <w:spacing w:after="0"/>
              <w:ind w:left="141" w:right="118" w:firstLine="0"/>
              <w:jc w:val="center"/>
              <w:rPr>
                <w:rFonts w:ascii="Arial" w:eastAsia="Arial" w:hAnsi="Arial" w:cs="Arial"/>
                <w:b/>
                <w:sz w:val="24"/>
                <w:szCs w:val="24"/>
              </w:rPr>
            </w:pPr>
            <w:r>
              <w:rPr>
                <w:rFonts w:ascii="Arial" w:eastAsia="Arial" w:hAnsi="Arial" w:cs="Arial"/>
                <w:b/>
                <w:sz w:val="24"/>
                <w:szCs w:val="24"/>
              </w:rPr>
              <w:t>"Employee Liability"</w:t>
            </w:r>
          </w:p>
        </w:tc>
        <w:tc>
          <w:tcPr>
            <w:tcW w:w="6109" w:type="dxa"/>
          </w:tcPr>
          <w:p w14:paraId="7CD18232" w14:textId="77777777" w:rsidR="00A14361" w:rsidRDefault="007E469D">
            <w:pPr>
              <w:tabs>
                <w:tab w:val="left" w:pos="-179"/>
                <w:tab w:val="left" w:pos="-9"/>
              </w:tabs>
              <w:spacing w:after="120"/>
              <w:ind w:left="0" w:right="53" w:firstLine="0"/>
              <w:rPr>
                <w:rFonts w:ascii="Arial" w:eastAsia="Arial" w:hAnsi="Arial" w:cs="Arial"/>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C7CA50A"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 xml:space="preserve">redundancy payments including contractual or enhanced redundancy costs, termination costs and notice payments; </w:t>
            </w:r>
          </w:p>
        </w:tc>
      </w:tr>
      <w:tr w:rsidR="00A14361" w14:paraId="6047E884" w14:textId="77777777">
        <w:tc>
          <w:tcPr>
            <w:tcW w:w="2917" w:type="dxa"/>
          </w:tcPr>
          <w:p w14:paraId="790CDCC1" w14:textId="77777777" w:rsidR="00A14361" w:rsidRDefault="00A14361">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7D7DDB02"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unfair, wrongful or constructive dismissal compensation;</w:t>
            </w:r>
          </w:p>
        </w:tc>
      </w:tr>
      <w:tr w:rsidR="00A14361" w14:paraId="60EB8334" w14:textId="77777777">
        <w:tc>
          <w:tcPr>
            <w:tcW w:w="2917" w:type="dxa"/>
          </w:tcPr>
          <w:p w14:paraId="41AFF57B" w14:textId="77777777" w:rsidR="00A14361" w:rsidRDefault="00A14361">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16694E3F"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A14361" w14:paraId="6E333F57" w14:textId="77777777">
        <w:tc>
          <w:tcPr>
            <w:tcW w:w="2917" w:type="dxa"/>
          </w:tcPr>
          <w:p w14:paraId="46154432" w14:textId="77777777" w:rsidR="00A14361" w:rsidRDefault="00A14361">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38E617FE"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compensation for less favourable treatment of part-time workers or fixed term employees;</w:t>
            </w:r>
          </w:p>
        </w:tc>
      </w:tr>
      <w:tr w:rsidR="00A14361" w14:paraId="6021FD6C" w14:textId="77777777">
        <w:tc>
          <w:tcPr>
            <w:tcW w:w="2917" w:type="dxa"/>
          </w:tcPr>
          <w:p w14:paraId="3F11E52A" w14:textId="77777777" w:rsidR="00A14361" w:rsidRDefault="00A14361">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2C916024"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outstanding employment debts and unlawful deduction of wages including any PAYE and National Insurance Contributions;</w:t>
            </w:r>
          </w:p>
        </w:tc>
      </w:tr>
      <w:tr w:rsidR="00A14361" w14:paraId="1C70638E" w14:textId="77777777">
        <w:tc>
          <w:tcPr>
            <w:tcW w:w="2917" w:type="dxa"/>
          </w:tcPr>
          <w:p w14:paraId="130408DB" w14:textId="77777777" w:rsidR="00A14361" w:rsidRDefault="00A14361">
            <w:pPr>
              <w:keepNext/>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1CD46D43" w14:textId="77777777" w:rsidR="00A14361" w:rsidRDefault="007E469D">
            <w:pPr>
              <w:numPr>
                <w:ilvl w:val="1"/>
                <w:numId w:val="6"/>
              </w:numPr>
              <w:tabs>
                <w:tab w:val="left" w:pos="-576"/>
                <w:tab w:val="left" w:pos="144"/>
              </w:tabs>
              <w:spacing w:after="120"/>
              <w:ind w:left="0" w:right="53" w:firstLine="0"/>
              <w:rPr>
                <w:rFonts w:ascii="Arial" w:eastAsia="Arial" w:hAnsi="Arial" w:cs="Arial"/>
                <w:sz w:val="24"/>
                <w:szCs w:val="24"/>
              </w:rPr>
            </w:pPr>
            <w:r>
              <w:rPr>
                <w:rFonts w:ascii="Arial" w:eastAsia="Arial" w:hAnsi="Arial" w:cs="Arial"/>
                <w:sz w:val="24"/>
                <w:szCs w:val="24"/>
              </w:rPr>
              <w:t>employment claims whether in tort, contract or statute or otherwise;</w:t>
            </w:r>
          </w:p>
        </w:tc>
      </w:tr>
      <w:tr w:rsidR="00A14361" w14:paraId="33227827" w14:textId="77777777">
        <w:tc>
          <w:tcPr>
            <w:tcW w:w="2917" w:type="dxa"/>
          </w:tcPr>
          <w:p w14:paraId="1EA80B9D" w14:textId="77777777" w:rsidR="00A14361" w:rsidRDefault="00A14361">
            <w:pPr>
              <w:keepNext/>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2FD25563" w14:textId="77777777" w:rsidR="00A14361" w:rsidRDefault="007E469D">
            <w:pPr>
              <w:numPr>
                <w:ilvl w:val="1"/>
                <w:numId w:val="6"/>
              </w:numPr>
              <w:tabs>
                <w:tab w:val="left" w:pos="-576"/>
                <w:tab w:val="left" w:pos="144"/>
              </w:tabs>
              <w:spacing w:after="120"/>
              <w:ind w:left="0" w:right="53" w:firstLine="0"/>
              <w:rPr>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A14361" w14:paraId="1BB1ECEA" w14:textId="77777777">
        <w:tc>
          <w:tcPr>
            <w:tcW w:w="2917" w:type="dxa"/>
          </w:tcPr>
          <w:p w14:paraId="4C684B0E"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"Former Supplier"</w:t>
            </w:r>
          </w:p>
        </w:tc>
        <w:tc>
          <w:tcPr>
            <w:tcW w:w="6109" w:type="dxa"/>
          </w:tcPr>
          <w:p w14:paraId="58143E96" w14:textId="77777777" w:rsidR="00A14361" w:rsidRDefault="007E469D">
            <w:pPr>
              <w:pBdr>
                <w:top w:val="nil"/>
                <w:left w:val="nil"/>
                <w:bottom w:val="nil"/>
                <w:right w:val="nil"/>
                <w:between w:val="nil"/>
              </w:pBdr>
              <w:tabs>
                <w:tab w:val="left" w:pos="235"/>
              </w:tabs>
              <w:spacing w:before="120" w:after="120"/>
              <w:ind w:left="0" w:right="53" w:firstLine="0"/>
              <w:rPr>
                <w:rFonts w:ascii="Arial" w:eastAsia="Arial" w:hAnsi="Arial" w:cs="Arial"/>
                <w:sz w:val="24"/>
                <w:szCs w:val="24"/>
              </w:rPr>
            </w:pPr>
            <w:r>
              <w:rPr>
                <w:rFonts w:ascii="Arial" w:eastAsia="Arial" w:hAnsi="Arial" w:cs="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A14361" w14:paraId="3B305292" w14:textId="77777777">
        <w:trPr>
          <w:trHeight w:val="3560"/>
        </w:trPr>
        <w:tc>
          <w:tcPr>
            <w:tcW w:w="2917" w:type="dxa"/>
          </w:tcPr>
          <w:p w14:paraId="13DAA07B"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"New Fair Deal"</w:t>
            </w:r>
          </w:p>
        </w:tc>
        <w:tc>
          <w:tcPr>
            <w:tcW w:w="6109" w:type="dxa"/>
          </w:tcPr>
          <w:p w14:paraId="454B4F7F" w14:textId="77777777" w:rsidR="00A14361" w:rsidRDefault="007E469D">
            <w:pPr>
              <w:pBdr>
                <w:top w:val="nil"/>
                <w:left w:val="nil"/>
                <w:bottom w:val="nil"/>
                <w:right w:val="nil"/>
                <w:between w:val="nil"/>
              </w:pBdr>
              <w:tabs>
                <w:tab w:val="left" w:pos="34"/>
              </w:tabs>
              <w:spacing w:before="120" w:after="120"/>
              <w:ind w:left="0" w:right="53" w:firstLine="0"/>
              <w:rPr>
                <w:rFonts w:ascii="Arial" w:eastAsia="Arial" w:hAnsi="Arial" w:cs="Arial"/>
                <w:sz w:val="24"/>
                <w:szCs w:val="24"/>
              </w:rPr>
            </w:pPr>
            <w:r>
              <w:rPr>
                <w:rFonts w:ascii="Arial" w:eastAsia="Arial" w:hAnsi="Arial" w:cs="Arial"/>
                <w:sz w:val="24"/>
                <w:szCs w:val="24"/>
              </w:rPr>
              <w:t xml:space="preserve">   the revised Fair Deal position set out in the HM Treasury guidance:  "</w:t>
            </w:r>
            <w:r>
              <w:rPr>
                <w:rFonts w:ascii="Arial" w:eastAsia="Arial" w:hAnsi="Arial" w:cs="Arial"/>
                <w:i/>
                <w:sz w:val="24"/>
                <w:szCs w:val="24"/>
              </w:rPr>
              <w:t>Fair Deal for Staff Pensions: Staff Transfer from Central Government</w:t>
            </w:r>
            <w:r>
              <w:rPr>
                <w:rFonts w:ascii="Arial" w:eastAsia="Arial" w:hAnsi="Arial" w:cs="Arial"/>
                <w:sz w:val="24"/>
                <w:szCs w:val="24"/>
              </w:rPr>
              <w:t>" issued in October 2013 including:</w:t>
            </w:r>
          </w:p>
          <w:p w14:paraId="7535998B" w14:textId="77777777" w:rsidR="00A14361" w:rsidRDefault="007E469D">
            <w:pPr>
              <w:numPr>
                <w:ilvl w:val="5"/>
                <w:numId w:val="6"/>
              </w:numPr>
              <w:pBdr>
                <w:top w:val="nil"/>
                <w:left w:val="nil"/>
                <w:bottom w:val="nil"/>
                <w:right w:val="nil"/>
                <w:between w:val="nil"/>
              </w:pBdr>
              <w:tabs>
                <w:tab w:val="left" w:pos="34"/>
              </w:tabs>
              <w:spacing w:before="120" w:after="120"/>
              <w:ind w:left="0" w:right="53" w:firstLine="0"/>
              <w:rPr>
                <w:rFonts w:ascii="Arial" w:eastAsia="Arial" w:hAnsi="Arial" w:cs="Arial"/>
                <w:sz w:val="24"/>
                <w:szCs w:val="24"/>
              </w:rPr>
            </w:pPr>
            <w:r>
              <w:rPr>
                <w:rFonts w:ascii="Arial" w:eastAsia="Arial" w:hAnsi="Arial" w:cs="Arial"/>
                <w:sz w:val="24"/>
                <w:szCs w:val="24"/>
              </w:rPr>
              <w:t>any amendments to that document immediately prior to the Relevant Transfer Date; and</w:t>
            </w:r>
          </w:p>
          <w:p w14:paraId="2450649B" w14:textId="77777777" w:rsidR="00A14361" w:rsidRDefault="007E469D">
            <w:pPr>
              <w:numPr>
                <w:ilvl w:val="5"/>
                <w:numId w:val="6"/>
              </w:numPr>
              <w:pBdr>
                <w:top w:val="nil"/>
                <w:left w:val="nil"/>
                <w:bottom w:val="nil"/>
                <w:right w:val="nil"/>
                <w:between w:val="nil"/>
              </w:pBdr>
              <w:tabs>
                <w:tab w:val="left" w:pos="34"/>
              </w:tabs>
              <w:spacing w:before="120" w:after="120"/>
              <w:ind w:left="0" w:right="53" w:firstLine="0"/>
              <w:rPr>
                <w:rFonts w:ascii="Arial" w:eastAsia="Arial" w:hAnsi="Arial" w:cs="Arial"/>
                <w:sz w:val="24"/>
                <w:szCs w:val="24"/>
              </w:rPr>
            </w:pPr>
            <w:r>
              <w:rPr>
                <w:rFonts w:ascii="Arial" w:eastAsia="Arial" w:hAnsi="Arial" w:cs="Arial"/>
                <w:sz w:val="24"/>
                <w:szCs w:val="24"/>
              </w:rPr>
              <w:t>any similar pension protection in accordance with the Annexes D1-D3 inclusive to Part D of this Schedule as notified to the Supplier by the Buyer;</w:t>
            </w:r>
          </w:p>
        </w:tc>
      </w:tr>
      <w:tr w:rsidR="00A14361" w14:paraId="38F4B9F2" w14:textId="77777777">
        <w:trPr>
          <w:trHeight w:val="1824"/>
        </w:trPr>
        <w:tc>
          <w:tcPr>
            <w:tcW w:w="2917" w:type="dxa"/>
          </w:tcPr>
          <w:p w14:paraId="47DC70B9"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“Old Fair Deal”</w:t>
            </w:r>
          </w:p>
        </w:tc>
        <w:tc>
          <w:tcPr>
            <w:tcW w:w="6109" w:type="dxa"/>
          </w:tcPr>
          <w:p w14:paraId="6EDD4032" w14:textId="77777777" w:rsidR="00A14361" w:rsidRDefault="007E469D">
            <w:pPr>
              <w:pBdr>
                <w:top w:val="nil"/>
                <w:left w:val="nil"/>
                <w:bottom w:val="nil"/>
                <w:right w:val="nil"/>
                <w:between w:val="nil"/>
              </w:pBdr>
              <w:tabs>
                <w:tab w:val="left" w:pos="420"/>
              </w:tabs>
              <w:spacing w:before="120" w:after="120"/>
              <w:ind w:left="0" w:right="53" w:firstLine="0"/>
              <w:rPr>
                <w:rFonts w:ascii="Arial" w:eastAsia="Arial" w:hAnsi="Arial" w:cs="Arial"/>
                <w:sz w:val="24"/>
                <w:szCs w:val="24"/>
              </w:rPr>
            </w:pPr>
            <w:r>
              <w:rPr>
                <w:rFonts w:ascii="Arial" w:eastAsia="Arial" w:hAnsi="Arial" w:cs="Arial"/>
                <w:sz w:val="24"/>
                <w:szCs w:val="24"/>
              </w:rPr>
              <w:t>HM Treasury Guidance “</w:t>
            </w:r>
            <w:r>
              <w:rPr>
                <w:rFonts w:ascii="Arial" w:eastAsia="Arial" w:hAnsi="Arial" w:cs="Arial"/>
                <w:i/>
                <w:sz w:val="24"/>
                <w:szCs w:val="24"/>
              </w:rPr>
              <w:t>Staff Transfers from Central Government: A Fair Deal for Staff Pensions</w:t>
            </w:r>
            <w:r>
              <w:rPr>
                <w:rFonts w:ascii="Arial" w:eastAsia="Arial" w:hAnsi="Arial" w:cs="Arial"/>
                <w:sz w:val="24"/>
                <w:szCs w:val="24"/>
              </w:rPr>
              <w:t>” issued in June 1999 including the supplementary guidance “</w:t>
            </w:r>
            <w:r>
              <w:rPr>
                <w:rFonts w:ascii="Arial" w:eastAsia="Arial" w:hAnsi="Arial" w:cs="Arial"/>
                <w:i/>
                <w:sz w:val="24"/>
                <w:szCs w:val="24"/>
              </w:rPr>
              <w:t>Fair Deal for Staff pensions: Procurement of Bulk Transfer Agreements and Related Issues</w:t>
            </w:r>
            <w:r>
              <w:rPr>
                <w:rFonts w:ascii="Arial" w:eastAsia="Arial" w:hAnsi="Arial" w:cs="Arial"/>
                <w:sz w:val="24"/>
                <w:szCs w:val="24"/>
              </w:rPr>
              <w:t>” issued in June 2004;</w:t>
            </w:r>
          </w:p>
        </w:tc>
      </w:tr>
      <w:tr w:rsidR="00A14361" w14:paraId="3491E779" w14:textId="77777777">
        <w:tc>
          <w:tcPr>
            <w:tcW w:w="2917" w:type="dxa"/>
          </w:tcPr>
          <w:p w14:paraId="1F8E5574"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"Partial Termination"</w:t>
            </w:r>
          </w:p>
        </w:tc>
        <w:tc>
          <w:tcPr>
            <w:tcW w:w="6109" w:type="dxa"/>
          </w:tcPr>
          <w:p w14:paraId="32710321" w14:textId="77777777" w:rsidR="00A14361" w:rsidRDefault="007E469D">
            <w:pPr>
              <w:pBdr>
                <w:top w:val="nil"/>
                <w:left w:val="nil"/>
                <w:bottom w:val="nil"/>
                <w:right w:val="nil"/>
                <w:between w:val="nil"/>
              </w:pBdr>
              <w:tabs>
                <w:tab w:val="left" w:pos="420"/>
              </w:tabs>
              <w:spacing w:before="120" w:after="120"/>
              <w:ind w:left="0" w:right="53" w:firstLine="0"/>
              <w:rPr>
                <w:rFonts w:ascii="Arial" w:eastAsia="Arial" w:hAnsi="Arial" w:cs="Arial"/>
                <w:sz w:val="24"/>
                <w:szCs w:val="24"/>
              </w:rPr>
            </w:pPr>
            <w:bookmarkStart w:id="3" w:name="_heading=h.1fob9te" w:colFirst="0" w:colLast="0"/>
            <w:bookmarkEnd w:id="3"/>
            <w:r>
              <w:rPr>
                <w:rFonts w:ascii="Arial" w:eastAsia="Arial" w:hAnsi="Arial" w:cs="Arial"/>
                <w:sz w:val="24"/>
                <w:szCs w:val="24"/>
              </w:rPr>
              <w:t>the partial termination of the relevant Contract to the extent that it relates to the provision of any part of the Services as further provided for in Clause 10.4 (When CCS or the Buyer can end this contract) or 10.5 (When the Supplier can end the contract);</w:t>
            </w:r>
          </w:p>
        </w:tc>
      </w:tr>
      <w:tr w:rsidR="00A14361" w14:paraId="0773B651" w14:textId="77777777">
        <w:tc>
          <w:tcPr>
            <w:tcW w:w="2917" w:type="dxa"/>
          </w:tcPr>
          <w:p w14:paraId="5C69E8AB"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"Relevant Transfer"</w:t>
            </w:r>
          </w:p>
        </w:tc>
        <w:tc>
          <w:tcPr>
            <w:tcW w:w="6109" w:type="dxa"/>
          </w:tcPr>
          <w:p w14:paraId="660FCE8C" w14:textId="77777777" w:rsidR="00A14361" w:rsidRDefault="007E469D">
            <w:pPr>
              <w:pBdr>
                <w:top w:val="nil"/>
                <w:left w:val="nil"/>
                <w:bottom w:val="nil"/>
                <w:right w:val="nil"/>
                <w:between w:val="nil"/>
              </w:pBdr>
              <w:tabs>
                <w:tab w:val="left" w:pos="34"/>
              </w:tabs>
              <w:spacing w:before="120" w:after="120"/>
              <w:ind w:left="0" w:right="53" w:firstLine="0"/>
              <w:rPr>
                <w:rFonts w:ascii="Arial" w:eastAsia="Arial" w:hAnsi="Arial" w:cs="Arial"/>
                <w:sz w:val="24"/>
                <w:szCs w:val="24"/>
                <w:highlight w:val="green"/>
              </w:rPr>
            </w:pPr>
            <w:r>
              <w:rPr>
                <w:rFonts w:ascii="Arial" w:eastAsia="Arial" w:hAnsi="Arial" w:cs="Arial"/>
                <w:sz w:val="24"/>
                <w:szCs w:val="24"/>
              </w:rPr>
              <w:t>a transfer of employment to which the Employment Regulations applies;</w:t>
            </w:r>
          </w:p>
        </w:tc>
      </w:tr>
      <w:tr w:rsidR="00A14361" w14:paraId="6D88F886" w14:textId="77777777">
        <w:tc>
          <w:tcPr>
            <w:tcW w:w="2917" w:type="dxa"/>
          </w:tcPr>
          <w:p w14:paraId="7D25F2A6"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"Relevant Transfer Date"</w:t>
            </w:r>
          </w:p>
        </w:tc>
        <w:tc>
          <w:tcPr>
            <w:tcW w:w="6109" w:type="dxa"/>
          </w:tcPr>
          <w:p w14:paraId="33DAD778" w14:textId="77777777" w:rsidR="00A14361" w:rsidRDefault="007E469D">
            <w:pPr>
              <w:pBdr>
                <w:top w:val="nil"/>
                <w:left w:val="nil"/>
                <w:bottom w:val="nil"/>
                <w:right w:val="nil"/>
                <w:between w:val="nil"/>
              </w:pBdr>
              <w:tabs>
                <w:tab w:val="left" w:pos="34"/>
              </w:tabs>
              <w:spacing w:before="120" w:after="120"/>
              <w:ind w:left="0" w:right="53" w:firstLine="0"/>
              <w:rPr>
                <w:rFonts w:ascii="Arial" w:eastAsia="Arial" w:hAnsi="Arial" w:cs="Arial"/>
                <w:sz w:val="24"/>
                <w:szCs w:val="24"/>
                <w:highlight w:val="green"/>
              </w:rPr>
            </w:pPr>
            <w:r>
              <w:rPr>
                <w:rFonts w:ascii="Arial" w:eastAsia="Arial" w:hAnsi="Arial" w:cs="Arial"/>
                <w:sz w:val="24"/>
                <w:szCs w:val="24"/>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w:t>
            </w:r>
            <w:r>
              <w:rPr>
                <w:rFonts w:ascii="Arial" w:eastAsia="Arial" w:hAnsi="Arial" w:cs="Arial"/>
                <w:sz w:val="24"/>
                <w:szCs w:val="24"/>
              </w:rPr>
              <w:lastRenderedPageBreak/>
              <w:t>because they remain continuously employed by the Supplier (or Subcontractor), references to the Relevant Transfer Date shall become references to the Start Date;</w:t>
            </w:r>
          </w:p>
        </w:tc>
      </w:tr>
      <w:tr w:rsidR="00A14361" w14:paraId="7BA4F1F3" w14:textId="77777777">
        <w:tc>
          <w:tcPr>
            <w:tcW w:w="2917" w:type="dxa"/>
          </w:tcPr>
          <w:p w14:paraId="3AB31608" w14:textId="77777777" w:rsidR="00A14361" w:rsidRDefault="007E469D">
            <w:pPr>
              <w:keepNext/>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lastRenderedPageBreak/>
              <w:t>"Staffing Information"</w:t>
            </w:r>
          </w:p>
        </w:tc>
        <w:tc>
          <w:tcPr>
            <w:tcW w:w="6109" w:type="dxa"/>
          </w:tcPr>
          <w:p w14:paraId="0360F35F" w14:textId="77777777" w:rsidR="00A14361" w:rsidRDefault="007E469D">
            <w:pPr>
              <w:keepNext/>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39653B69" w14:textId="77777777" w:rsidR="00A14361" w:rsidRDefault="007E469D">
            <w:pPr>
              <w:keepNext/>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their ages, dates of commencement of employment or engagement, gender and place of work;</w:t>
            </w:r>
          </w:p>
        </w:tc>
      </w:tr>
      <w:tr w:rsidR="00A14361" w14:paraId="5247A105" w14:textId="77777777">
        <w:tc>
          <w:tcPr>
            <w:tcW w:w="2917" w:type="dxa"/>
          </w:tcPr>
          <w:p w14:paraId="01E2EA12"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793A7280"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details of whether they are employed, self-employed contractors or consultants, agency workers or otherwise;</w:t>
            </w:r>
          </w:p>
        </w:tc>
      </w:tr>
      <w:tr w:rsidR="00A14361" w14:paraId="480A03F2" w14:textId="77777777">
        <w:tc>
          <w:tcPr>
            <w:tcW w:w="2917" w:type="dxa"/>
          </w:tcPr>
          <w:p w14:paraId="20F92BCA"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1211983C"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the identity of the employer or relevant contracting Party;</w:t>
            </w:r>
          </w:p>
        </w:tc>
      </w:tr>
      <w:tr w:rsidR="00A14361" w14:paraId="1F6F0228" w14:textId="77777777">
        <w:tc>
          <w:tcPr>
            <w:tcW w:w="2917" w:type="dxa"/>
          </w:tcPr>
          <w:p w14:paraId="43464610"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79FAA3E8"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their relevant contractual notice periods and any other terms relating to termination of employment, including redundancy procedures, and redundancy payments;</w:t>
            </w:r>
          </w:p>
        </w:tc>
      </w:tr>
      <w:tr w:rsidR="00A14361" w14:paraId="648CE711" w14:textId="77777777">
        <w:tc>
          <w:tcPr>
            <w:tcW w:w="2917" w:type="dxa"/>
          </w:tcPr>
          <w:p w14:paraId="00B26A37"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57A15D80"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their wages, salaries, bonuses and profit sharing arrangements as applicable;</w:t>
            </w:r>
          </w:p>
        </w:tc>
      </w:tr>
      <w:tr w:rsidR="00A14361" w14:paraId="13B66E60" w14:textId="77777777">
        <w:tc>
          <w:tcPr>
            <w:tcW w:w="2917" w:type="dxa"/>
          </w:tcPr>
          <w:p w14:paraId="0C896E3E"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0F56E5B1"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A14361" w14:paraId="307CD339" w14:textId="77777777">
        <w:tc>
          <w:tcPr>
            <w:tcW w:w="2917" w:type="dxa"/>
          </w:tcPr>
          <w:p w14:paraId="58B51FC2"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379028DF"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t>any outstanding or potential contractual, statutory or other liabilities in respect of such individuals (including in respect of personal injury claims);</w:t>
            </w:r>
          </w:p>
        </w:tc>
      </w:tr>
      <w:tr w:rsidR="00A14361" w14:paraId="70AC2D17" w14:textId="77777777">
        <w:tc>
          <w:tcPr>
            <w:tcW w:w="2917" w:type="dxa"/>
          </w:tcPr>
          <w:p w14:paraId="3FBFEDE0"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41157EBF"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 xml:space="preserve">details of any such individuals on long term sickness absence, parental leave, maternity leave or other authorised long term absence; </w:t>
            </w:r>
          </w:p>
        </w:tc>
      </w:tr>
      <w:tr w:rsidR="00A14361" w14:paraId="5199F6AA" w14:textId="77777777">
        <w:tc>
          <w:tcPr>
            <w:tcW w:w="2917" w:type="dxa"/>
          </w:tcPr>
          <w:p w14:paraId="184AC50B"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0775E9E0"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 xml:space="preserve">copies of all relevant documents and materials relating to such information, including copies of relevant contracts of employment (or relevant standard </w:t>
            </w:r>
            <w:r>
              <w:rPr>
                <w:rFonts w:ascii="Arial" w:eastAsia="Arial" w:hAnsi="Arial" w:cs="Arial"/>
                <w:sz w:val="24"/>
                <w:szCs w:val="24"/>
              </w:rPr>
              <w:lastRenderedPageBreak/>
              <w:t>contracts if applied generally in respect of such employees); and</w:t>
            </w:r>
          </w:p>
        </w:tc>
      </w:tr>
      <w:tr w:rsidR="00A14361" w14:paraId="31C2CBD9" w14:textId="77777777">
        <w:tc>
          <w:tcPr>
            <w:tcW w:w="2917" w:type="dxa"/>
          </w:tcPr>
          <w:p w14:paraId="1A98ABC1"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p w14:paraId="6E01D657" w14:textId="77777777" w:rsidR="00A14361" w:rsidRDefault="00A14361">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5788AF88"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(j)</w:t>
            </w:r>
            <w:r>
              <w:rPr>
                <w:rFonts w:ascii="Arial" w:eastAsia="Arial" w:hAnsi="Arial" w:cs="Arial"/>
                <w:sz w:val="24"/>
                <w:szCs w:val="24"/>
              </w:rPr>
              <w:tab/>
              <w:t xml:space="preserve">any other "employee liability information" as such term is defined in regulation 11 of the Employment Regulations; </w:t>
            </w:r>
          </w:p>
        </w:tc>
      </w:tr>
      <w:tr w:rsidR="00A14361" w14:paraId="087F7459" w14:textId="77777777">
        <w:tc>
          <w:tcPr>
            <w:tcW w:w="2917" w:type="dxa"/>
          </w:tcPr>
          <w:p w14:paraId="19131CB3"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"Supplier's Final Supplier Personnel List"</w:t>
            </w:r>
          </w:p>
        </w:tc>
        <w:tc>
          <w:tcPr>
            <w:tcW w:w="6109" w:type="dxa"/>
          </w:tcPr>
          <w:p w14:paraId="0D40C2D7" w14:textId="77777777" w:rsidR="00A14361" w:rsidRDefault="007E469D">
            <w:pPr>
              <w:pBdr>
                <w:top w:val="nil"/>
                <w:left w:val="nil"/>
                <w:bottom w:val="nil"/>
                <w:right w:val="nil"/>
                <w:between w:val="nil"/>
              </w:pBdr>
              <w:tabs>
                <w:tab w:val="left" w:pos="34"/>
              </w:tabs>
              <w:spacing w:before="120" w:after="120"/>
              <w:ind w:left="0" w:right="53" w:firstLine="0"/>
              <w:rPr>
                <w:rFonts w:ascii="Arial" w:eastAsia="Arial" w:hAnsi="Arial" w:cs="Arial"/>
                <w:sz w:val="24"/>
                <w:szCs w:val="24"/>
              </w:rPr>
            </w:pPr>
            <w:r>
              <w:rPr>
                <w:rFonts w:ascii="Arial" w:eastAsia="Arial" w:hAnsi="Arial" w:cs="Arial"/>
                <w:sz w:val="24"/>
                <w:szCs w:val="24"/>
              </w:rPr>
              <w:t>a list provided by the Supplier of all Supplier Staff who will transfer under the Employment Regulations on the Service Transfer Date;</w:t>
            </w:r>
          </w:p>
        </w:tc>
      </w:tr>
      <w:tr w:rsidR="00A14361" w14:paraId="478F5775" w14:textId="77777777">
        <w:tc>
          <w:tcPr>
            <w:tcW w:w="2917" w:type="dxa"/>
          </w:tcPr>
          <w:p w14:paraId="1C9F1D53"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"Supplier's Provisional Supplier Personnel List"</w:t>
            </w:r>
          </w:p>
        </w:tc>
        <w:tc>
          <w:tcPr>
            <w:tcW w:w="6109" w:type="dxa"/>
          </w:tcPr>
          <w:p w14:paraId="1F34CC53"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14361" w14:paraId="3C2DE23A" w14:textId="77777777">
        <w:tc>
          <w:tcPr>
            <w:tcW w:w="2917" w:type="dxa"/>
          </w:tcPr>
          <w:p w14:paraId="611AEC08"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"Term"</w:t>
            </w:r>
          </w:p>
        </w:tc>
        <w:tc>
          <w:tcPr>
            <w:tcW w:w="6109" w:type="dxa"/>
          </w:tcPr>
          <w:p w14:paraId="60DDE883"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the period commencing on the Start Date and ending on the expiry of the Initial Period or any Extension Period or on earlier termination of the relevant Contract;</w:t>
            </w:r>
          </w:p>
        </w:tc>
      </w:tr>
      <w:tr w:rsidR="00A14361" w14:paraId="4AEEC016" w14:textId="77777777">
        <w:tc>
          <w:tcPr>
            <w:tcW w:w="2917" w:type="dxa"/>
          </w:tcPr>
          <w:p w14:paraId="474C8F7B"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"Transferring Buyer Employees"</w:t>
            </w:r>
          </w:p>
        </w:tc>
        <w:tc>
          <w:tcPr>
            <w:tcW w:w="6109" w:type="dxa"/>
          </w:tcPr>
          <w:p w14:paraId="5F29354D"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rPr>
            </w:pPr>
            <w:r>
              <w:rPr>
                <w:rFonts w:ascii="Arial" w:eastAsia="Arial" w:hAnsi="Arial" w:cs="Arial"/>
                <w:sz w:val="24"/>
                <w:szCs w:val="24"/>
              </w:rPr>
              <w:t>those employees of the Buyer to whom the Employment Regulations will apply on the Relevant Transfer Date;</w:t>
            </w:r>
          </w:p>
        </w:tc>
      </w:tr>
      <w:tr w:rsidR="00A14361" w14:paraId="058AFD79" w14:textId="77777777">
        <w:tc>
          <w:tcPr>
            <w:tcW w:w="2917" w:type="dxa"/>
          </w:tcPr>
          <w:p w14:paraId="444BE229" w14:textId="77777777" w:rsidR="00A14361" w:rsidRDefault="007E469D">
            <w:pPr>
              <w:pBdr>
                <w:top w:val="nil"/>
                <w:left w:val="nil"/>
                <w:bottom w:val="nil"/>
                <w:right w:val="nil"/>
                <w:between w:val="nil"/>
              </w:pBdr>
              <w:spacing w:before="120" w:after="120"/>
              <w:ind w:left="141" w:right="118" w:firstLine="0"/>
              <w:jc w:val="center"/>
              <w:rPr>
                <w:rFonts w:ascii="Arial" w:eastAsia="Arial" w:hAnsi="Arial" w:cs="Arial"/>
                <w:b/>
                <w:sz w:val="24"/>
                <w:szCs w:val="24"/>
                <w:highlight w:val="green"/>
              </w:rPr>
            </w:pPr>
            <w:r>
              <w:rPr>
                <w:rFonts w:ascii="Arial" w:eastAsia="Arial" w:hAnsi="Arial" w:cs="Arial"/>
                <w:b/>
                <w:sz w:val="24"/>
                <w:szCs w:val="24"/>
              </w:rPr>
              <w:t>"Transferring Former Supplier Employees"</w:t>
            </w:r>
          </w:p>
        </w:tc>
        <w:tc>
          <w:tcPr>
            <w:tcW w:w="6109" w:type="dxa"/>
          </w:tcPr>
          <w:p w14:paraId="2E301464" w14:textId="77777777" w:rsidR="00A14361" w:rsidRDefault="007E469D">
            <w:pPr>
              <w:pBdr>
                <w:top w:val="nil"/>
                <w:left w:val="nil"/>
                <w:bottom w:val="nil"/>
                <w:right w:val="nil"/>
                <w:between w:val="nil"/>
              </w:pBdr>
              <w:spacing w:before="120" w:after="120"/>
              <w:ind w:left="0" w:right="53" w:firstLine="0"/>
              <w:rPr>
                <w:rFonts w:ascii="Arial" w:eastAsia="Arial" w:hAnsi="Arial" w:cs="Arial"/>
                <w:sz w:val="24"/>
                <w:szCs w:val="24"/>
                <w:highlight w:val="green"/>
              </w:rPr>
            </w:pPr>
            <w:r>
              <w:rPr>
                <w:rFonts w:ascii="Arial" w:eastAsia="Arial" w:hAnsi="Arial" w:cs="Arial"/>
                <w:sz w:val="24"/>
                <w:szCs w:val="24"/>
              </w:rPr>
              <w:t>in relation to a Former Supplier, those employees of the Former Supplier to whom the Employment Regulations will apply on the Relevant Transfer Date.</w:t>
            </w:r>
          </w:p>
        </w:tc>
      </w:tr>
    </w:tbl>
    <w:p w14:paraId="402AC6D3" w14:textId="77777777" w:rsidR="00A14361" w:rsidRDefault="00A14361">
      <w:pPr>
        <w:keepNext/>
        <w:pBdr>
          <w:top w:val="nil"/>
          <w:left w:val="nil"/>
          <w:bottom w:val="nil"/>
          <w:right w:val="nil"/>
          <w:between w:val="nil"/>
        </w:pBdr>
        <w:spacing w:before="120"/>
        <w:ind w:left="720"/>
        <w:rPr>
          <w:rFonts w:ascii="Arial" w:eastAsia="Arial" w:hAnsi="Arial" w:cs="Arial"/>
          <w:b/>
          <w:smallCaps/>
          <w:sz w:val="24"/>
          <w:szCs w:val="24"/>
        </w:rPr>
      </w:pPr>
    </w:p>
    <w:p w14:paraId="441A6B83" w14:textId="77777777" w:rsidR="00A14361" w:rsidRDefault="007E469D">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14:paraId="449B58C8" w14:textId="77777777" w:rsidR="00A14361" w:rsidRDefault="007E469D">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6A9C27B" w14:textId="77777777" w:rsidR="00A14361" w:rsidRDefault="007E469D">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0996A9A6" w14:textId="77777777" w:rsidR="00A14361" w:rsidRDefault="007E469D">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s="Arial"/>
          <w:color w:val="000000"/>
          <w:sz w:val="24"/>
          <w:szCs w:val="24"/>
        </w:rPr>
        <w:lastRenderedPageBreak/>
        <w:t xml:space="preserve">Contract but this does not affect any right or remedy of any person which exists or is available otherwise than pursuant to that Act. </w:t>
      </w:r>
    </w:p>
    <w:p w14:paraId="73F70B49" w14:textId="77777777" w:rsidR="00A14361" w:rsidRDefault="007E469D">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6778E262" w14:textId="77777777" w:rsidR="00A14361" w:rsidRDefault="007E469D">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2391B4FA" w14:textId="77777777" w:rsidR="00A14361" w:rsidRDefault="007E469D">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Which parts of this Schedule apply</w:t>
      </w:r>
    </w:p>
    <w:p w14:paraId="27D89976" w14:textId="77777777" w:rsidR="00A14361" w:rsidRDefault="007E469D">
      <w:pPr>
        <w:ind w:left="357"/>
        <w:rPr>
          <w:rFonts w:ascii="Arial" w:eastAsia="Arial" w:hAnsi="Arial" w:cs="Arial"/>
          <w:sz w:val="24"/>
          <w:szCs w:val="24"/>
        </w:rPr>
      </w:pPr>
      <w:r>
        <w:rPr>
          <w:rFonts w:ascii="Arial" w:eastAsia="Arial" w:hAnsi="Arial" w:cs="Arial"/>
          <w:sz w:val="24"/>
          <w:szCs w:val="24"/>
        </w:rPr>
        <w:t>Only the following parts of this Schedule shall apply to this Call Off Contract:</w:t>
      </w:r>
    </w:p>
    <w:p w14:paraId="347E68BA" w14:textId="2B63BA88" w:rsidR="00A14361" w:rsidRDefault="007E469D">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C (No Staff Transfer on the Start Date)</w:t>
      </w:r>
    </w:p>
    <w:p w14:paraId="6C28FA11" w14:textId="77777777" w:rsidR="00A14361" w:rsidRDefault="007E469D">
      <w:pPr>
        <w:numPr>
          <w:ilvl w:val="1"/>
          <w:numId w:val="15"/>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14:paraId="7B0E5F20" w14:textId="77777777" w:rsidR="00A14361" w:rsidRDefault="00A14361">
      <w:pPr>
        <w:ind w:left="357"/>
        <w:rPr>
          <w:rFonts w:ascii="Arial" w:eastAsia="Arial" w:hAnsi="Arial" w:cs="Arial"/>
          <w:sz w:val="24"/>
          <w:szCs w:val="24"/>
        </w:rPr>
      </w:pPr>
    </w:p>
    <w:p w14:paraId="71643FB0" w14:textId="7FF7D84A" w:rsidR="007E469D" w:rsidRDefault="007E469D" w:rsidP="007E469D">
      <w:pPr>
        <w:keepNext/>
        <w:rPr>
          <w:rFonts w:ascii="Arial" w:eastAsia="Arial" w:hAnsi="Arial" w:cs="Arial"/>
          <w:b/>
          <w:sz w:val="36"/>
          <w:szCs w:val="36"/>
        </w:rPr>
      </w:pPr>
      <w:r>
        <w:br w:type="page"/>
      </w:r>
    </w:p>
    <w:p w14:paraId="2AF8181E" w14:textId="11A550E7" w:rsidR="00A14361" w:rsidRDefault="007E469D">
      <w:pPr>
        <w:rPr>
          <w:rFonts w:ascii="Arial" w:eastAsia="Arial" w:hAnsi="Arial" w:cs="Arial"/>
          <w:b/>
          <w:sz w:val="36"/>
          <w:szCs w:val="36"/>
        </w:rPr>
      </w:pPr>
      <w:r>
        <w:rPr>
          <w:rFonts w:ascii="Arial" w:eastAsia="Arial" w:hAnsi="Arial" w:cs="Arial"/>
          <w:b/>
          <w:sz w:val="36"/>
          <w:szCs w:val="36"/>
        </w:rPr>
        <w:lastRenderedPageBreak/>
        <w:t>Part C: No Staff Transfer on the Start Date</w:t>
      </w:r>
    </w:p>
    <w:p w14:paraId="0AC208F3" w14:textId="77777777" w:rsidR="00A14361" w:rsidRDefault="007E469D">
      <w:pPr>
        <w:keepNext/>
        <w:numPr>
          <w:ilvl w:val="0"/>
          <w:numId w:val="19"/>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there is a staff transfer</w:t>
      </w:r>
    </w:p>
    <w:p w14:paraId="50DE01C8" w14:textId="77777777" w:rsidR="00A14361" w:rsidRDefault="007E469D">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 w:name="_heading=h.147n2zr" w:colFirst="0" w:colLast="0"/>
      <w:bookmarkEnd w:id="4"/>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6FF735A3" w14:textId="77777777" w:rsidR="00A14361" w:rsidRDefault="007E469D">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 w:name="_heading=h.3o7alnk" w:colFirst="0" w:colLast="0"/>
      <w:bookmarkEnd w:id="5"/>
      <w:r>
        <w:rPr>
          <w:rFonts w:ascii="Arial" w:eastAsia="Arial" w:hAnsi="Arial" w:cs="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9D1A233"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6" w:name="_heading=h.23ckvvd" w:colFirst="0" w:colLast="0"/>
      <w:bookmarkEnd w:id="6"/>
      <w:r>
        <w:rPr>
          <w:rFonts w:ascii="Arial" w:eastAsia="Arial" w:hAnsi="Arial" w:cs="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A48859F"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bookmarkStart w:id="7" w:name="_heading=h.ihv636" w:colFirst="0" w:colLast="0"/>
      <w:bookmarkEnd w:id="7"/>
      <w:r>
        <w:rPr>
          <w:rFonts w:ascii="Arial" w:eastAsia="Arial" w:hAnsi="Arial" w:cs="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4B3B11C8" w14:textId="77777777" w:rsidR="00A14361" w:rsidRDefault="007E469D">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34260A96" w14:textId="77777777" w:rsidR="00A14361" w:rsidRDefault="007E469D">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8" w:name="_heading=h.32hioqz" w:colFirst="0" w:colLast="0"/>
      <w:bookmarkEnd w:id="8"/>
      <w:r>
        <w:rPr>
          <w:rFonts w:ascii="Arial" w:eastAsia="Arial" w:hAnsi="Arial" w:cs="Arial"/>
          <w:color w:val="000000"/>
          <w:sz w:val="24"/>
          <w:szCs w:val="24"/>
        </w:rPr>
        <w:t xml:space="preserve">If by the end of the 15 Working Day period referred to in Paragraph 1.2.2: </w:t>
      </w:r>
    </w:p>
    <w:p w14:paraId="3270E9AB"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14:paraId="30C12268"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7C51CF16"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698280FE" w14:textId="77777777" w:rsidR="00A14361" w:rsidRDefault="007E469D">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14:paraId="4E9B6FCE" w14:textId="77777777" w:rsidR="00A14361" w:rsidRDefault="00A14361">
      <w:pPr>
        <w:pBdr>
          <w:top w:val="nil"/>
          <w:left w:val="nil"/>
          <w:bottom w:val="nil"/>
          <w:right w:val="nil"/>
          <w:between w:val="nil"/>
        </w:pBdr>
        <w:spacing w:before="120" w:after="120"/>
        <w:ind w:left="1134" w:hanging="1080"/>
        <w:rPr>
          <w:rFonts w:ascii="Arial" w:eastAsia="Arial" w:hAnsi="Arial" w:cs="Arial"/>
          <w:color w:val="000000"/>
          <w:sz w:val="24"/>
          <w:szCs w:val="24"/>
        </w:rPr>
      </w:pPr>
    </w:p>
    <w:p w14:paraId="3C1D2261" w14:textId="77777777" w:rsidR="00A14361" w:rsidRDefault="007E469D">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44BCB655"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w:t>
      </w:r>
      <w:r>
        <w:rPr>
          <w:rFonts w:ascii="Arial" w:eastAsia="Arial" w:hAnsi="Arial" w:cs="Arial"/>
          <w:color w:val="000000"/>
          <w:sz w:val="24"/>
          <w:szCs w:val="24"/>
        </w:rPr>
        <w:lastRenderedPageBreak/>
        <w:t xml:space="preserve">Subcontractor takes, all reasonable steps to minimise any such Employee Liabilities; and </w:t>
      </w:r>
    </w:p>
    <w:p w14:paraId="16ABC594"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56C78B6B" w14:textId="77777777" w:rsidR="00A14361" w:rsidRDefault="007E469D">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403C5ABE" w14:textId="77777777" w:rsidR="00A14361" w:rsidRDefault="007E469D">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667200D0" w14:textId="77777777" w:rsidR="00A14361" w:rsidRDefault="00A14361">
      <w:pPr>
        <w:keepNext/>
        <w:pBdr>
          <w:top w:val="nil"/>
          <w:left w:val="nil"/>
          <w:bottom w:val="nil"/>
          <w:right w:val="nil"/>
          <w:between w:val="nil"/>
        </w:pBdr>
        <w:tabs>
          <w:tab w:val="left" w:pos="993"/>
        </w:tabs>
        <w:spacing w:before="120" w:after="120"/>
        <w:ind w:left="720" w:hanging="720"/>
        <w:rPr>
          <w:color w:val="000000"/>
        </w:rPr>
      </w:pPr>
    </w:p>
    <w:p w14:paraId="3E962AF1" w14:textId="77777777" w:rsidR="00A14361" w:rsidRDefault="007E469D">
      <w:pPr>
        <w:keepNext/>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9" w:name="_heading=h.1hmsyys" w:colFirst="0" w:colLast="0"/>
      <w:bookmarkEnd w:id="9"/>
      <w:r>
        <w:rPr>
          <w:rFonts w:ascii="Arial" w:eastAsia="Arial" w:hAnsi="Arial" w:cs="Arial"/>
          <w:color w:val="000000"/>
          <w:sz w:val="24"/>
          <w:szCs w:val="24"/>
        </w:rPr>
        <w:t xml:space="preserve">The indemnities in Paragraph 1.5: </w:t>
      </w:r>
    </w:p>
    <w:p w14:paraId="21FA314D"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164210F8" w14:textId="77777777" w:rsidR="00A14361" w:rsidRDefault="007E469D">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14:paraId="7F91C432" w14:textId="77777777" w:rsidR="00A14361" w:rsidRDefault="007E469D">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620A4A8" w14:textId="77777777" w:rsidR="00A14361" w:rsidRDefault="007E469D">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 xml:space="preserve">equal pay or compensation for less favourable treatment of part-time workers or fixed-term employees, </w:t>
      </w:r>
    </w:p>
    <w:p w14:paraId="7D59897C" w14:textId="77777777" w:rsidR="00A14361" w:rsidRDefault="007E469D">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14:paraId="6EFC4CAF" w14:textId="77777777" w:rsidR="00A14361" w:rsidRDefault="007E469D">
      <w:pPr>
        <w:numPr>
          <w:ilvl w:val="3"/>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Supplier and/or any Subcontractor neglected to follow a fair dismissal procedure; and </w:t>
      </w:r>
    </w:p>
    <w:p w14:paraId="6016D27A" w14:textId="77777777" w:rsidR="00A14361" w:rsidRDefault="007E469D">
      <w:pPr>
        <w:numPr>
          <w:ilvl w:val="2"/>
          <w:numId w:val="1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66958ABA" w14:textId="77777777" w:rsidR="00A14361" w:rsidRDefault="007E469D">
      <w:pPr>
        <w:numPr>
          <w:ilvl w:val="1"/>
          <w:numId w:val="1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0" w:name="_heading=h.41mghml" w:colFirst="0" w:colLast="0"/>
      <w:bookmarkEnd w:id="10"/>
      <w:r>
        <w:rPr>
          <w:rFonts w:ascii="Arial" w:eastAsia="Arial" w:hAnsi="Arial" w:cs="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11F7FDCE" w14:textId="77777777" w:rsidR="00A14361" w:rsidRDefault="007E469D">
      <w:pPr>
        <w:keepNext/>
        <w:numPr>
          <w:ilvl w:val="0"/>
          <w:numId w:val="19"/>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Limits on the Former Supplier’s obligations</w:t>
      </w:r>
    </w:p>
    <w:p w14:paraId="71D08174" w14:textId="77777777" w:rsidR="00A14361" w:rsidRDefault="007E469D">
      <w:pPr>
        <w:ind w:left="357"/>
        <w:rPr>
          <w:rFonts w:ascii="Arial" w:eastAsia="Arial" w:hAnsi="Arial" w:cs="Arial"/>
          <w:sz w:val="24"/>
          <w:szCs w:val="24"/>
        </w:rPr>
      </w:pPr>
      <w:r>
        <w:rPr>
          <w:rFonts w:ascii="Arial" w:eastAsia="Arial" w:hAnsi="Arial" w:cs="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7033321" w14:textId="0E051E38" w:rsidR="007E469D" w:rsidRPr="007E469D" w:rsidRDefault="007E469D" w:rsidP="007E469D">
      <w:pPr>
        <w:keepNext/>
        <w:rPr>
          <w:rFonts w:ascii="Arial" w:eastAsia="Arial" w:hAnsi="Arial" w:cs="Arial"/>
          <w:color w:val="000000"/>
          <w:sz w:val="24"/>
          <w:szCs w:val="24"/>
        </w:rPr>
      </w:pPr>
      <w:r>
        <w:br w:type="page"/>
      </w:r>
    </w:p>
    <w:p w14:paraId="37EB2D04" w14:textId="7F53951A" w:rsidR="00A14361" w:rsidRPr="007E469D" w:rsidRDefault="007E469D" w:rsidP="007E469D">
      <w:pPr>
        <w:keepNext/>
        <w:pBdr>
          <w:top w:val="nil"/>
          <w:left w:val="nil"/>
          <w:bottom w:val="nil"/>
          <w:right w:val="nil"/>
          <w:between w:val="nil"/>
        </w:pBdr>
        <w:tabs>
          <w:tab w:val="left" w:pos="993"/>
        </w:tabs>
        <w:spacing w:before="120" w:after="120"/>
        <w:rPr>
          <w:rFonts w:ascii="Arial" w:eastAsia="Arial" w:hAnsi="Arial" w:cs="Arial"/>
          <w:b/>
          <w:sz w:val="24"/>
          <w:szCs w:val="24"/>
        </w:rPr>
      </w:pPr>
      <w:r w:rsidRPr="007E469D">
        <w:rPr>
          <w:rFonts w:ascii="Arial Bold" w:eastAsia="Arial Bold" w:hAnsi="Arial Bold" w:cs="Arial Bold"/>
          <w:b/>
          <w:color w:val="000000"/>
          <w:sz w:val="36"/>
          <w:szCs w:val="36"/>
        </w:rPr>
        <w:t xml:space="preserve">Part E: Staff Transfer on Exit </w:t>
      </w:r>
    </w:p>
    <w:p w14:paraId="542ABC7B" w14:textId="77777777" w:rsidR="00A14361" w:rsidRDefault="007E469D">
      <w:pPr>
        <w:keepNext/>
        <w:numPr>
          <w:ilvl w:val="0"/>
          <w:numId w:val="9"/>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Obligations before a Staff Transfer</w:t>
      </w:r>
    </w:p>
    <w:p w14:paraId="068DA636"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1" w:name="_heading=h.1664s55" w:colFirst="0" w:colLast="0"/>
      <w:bookmarkEnd w:id="11"/>
      <w:r>
        <w:rPr>
          <w:rFonts w:ascii="Arial" w:eastAsia="Arial" w:hAnsi="Arial" w:cs="Arial"/>
          <w:color w:val="000000"/>
          <w:sz w:val="24"/>
          <w:szCs w:val="24"/>
        </w:rPr>
        <w:t>The Supplier agrees that within 20 Working Days of the earliest of:</w:t>
      </w:r>
    </w:p>
    <w:p w14:paraId="032E0BD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12" w:name="_heading=h.3q5sasy" w:colFirst="0" w:colLast="0"/>
      <w:bookmarkEnd w:id="12"/>
      <w:r>
        <w:rPr>
          <w:rFonts w:ascii="Arial" w:eastAsia="Arial" w:hAnsi="Arial" w:cs="Arial"/>
          <w:color w:val="000000"/>
          <w:sz w:val="24"/>
          <w:szCs w:val="24"/>
        </w:rPr>
        <w:t xml:space="preserve">receipt of a notification from the Buyer of a Service Transfer or intended Service Transfer; </w:t>
      </w:r>
    </w:p>
    <w:p w14:paraId="1888B649"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13" w:name="_heading=h.25b2l0r" w:colFirst="0" w:colLast="0"/>
      <w:bookmarkEnd w:id="13"/>
      <w:r>
        <w:rPr>
          <w:rFonts w:ascii="Arial" w:eastAsia="Arial" w:hAnsi="Arial" w:cs="Arial"/>
          <w:color w:val="000000"/>
          <w:sz w:val="24"/>
          <w:szCs w:val="24"/>
        </w:rPr>
        <w:t xml:space="preserve">receipt of the giving of notice of early termination or any Partial Termination of the relevant Contract; </w:t>
      </w:r>
    </w:p>
    <w:p w14:paraId="4FC5C212"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14:paraId="70B31C2E"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14:paraId="224D0347" w14:textId="77777777" w:rsidR="00A14361" w:rsidRDefault="007E469D">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F838A4A"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4" w:name="_heading=h.kgcv8k" w:colFirst="0" w:colLast="0"/>
      <w:bookmarkEnd w:id="14"/>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45D2E5E"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5C8C529"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24076DB"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2E1C9BE8" w14:textId="77777777" w:rsidR="00A14361" w:rsidRDefault="00A14361">
      <w:pPr>
        <w:keepNext/>
        <w:pBdr>
          <w:top w:val="nil"/>
          <w:left w:val="nil"/>
          <w:bottom w:val="nil"/>
          <w:right w:val="nil"/>
          <w:between w:val="nil"/>
        </w:pBdr>
        <w:tabs>
          <w:tab w:val="left" w:pos="993"/>
        </w:tabs>
        <w:spacing w:before="120" w:after="120"/>
        <w:rPr>
          <w:rFonts w:ascii="Arial" w:eastAsia="Arial" w:hAnsi="Arial" w:cs="Arial"/>
          <w:color w:val="000000"/>
          <w:sz w:val="24"/>
          <w:szCs w:val="24"/>
        </w:rPr>
      </w:pPr>
    </w:p>
    <w:p w14:paraId="1A95DFEF"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02BCA6B3"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1A53D07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1C70F18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33EE6411"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5B81B777"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Provisional Supplier Personnel List save by due disciplinary process;</w:t>
      </w:r>
    </w:p>
    <w:p w14:paraId="1A684186" w14:textId="77777777" w:rsidR="00A14361" w:rsidRDefault="007E469D">
      <w:pPr>
        <w:pBdr>
          <w:top w:val="nil"/>
          <w:left w:val="nil"/>
          <w:bottom w:val="nil"/>
          <w:right w:val="nil"/>
          <w:between w:val="nil"/>
        </w:pBdr>
        <w:tabs>
          <w:tab w:val="left" w:pos="993"/>
        </w:tabs>
        <w:spacing w:before="120" w:after="120"/>
        <w:ind w:left="720" w:hanging="720"/>
        <w:rPr>
          <w:color w:val="000000"/>
        </w:rPr>
      </w:pPr>
      <w:r>
        <w:rPr>
          <w:rFonts w:ascii="Arial" w:eastAsia="Arial" w:hAnsi="Arial" w:cs="Arial"/>
          <w:sz w:val="24"/>
          <w:szCs w:val="24"/>
        </w:rPr>
        <w:tab/>
      </w:r>
      <w:r>
        <w:rPr>
          <w:rFonts w:ascii="Arial" w:eastAsia="Arial" w:hAnsi="Arial" w:cs="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2CA67DBC"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14:paraId="0A3256CA"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14:paraId="48382D6B"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14:paraId="2E3337E4"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DF3ED62"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14:paraId="11E6B45A"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5AA19BF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14:paraId="04E9203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14:paraId="7E85640C"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tax paid;</w:t>
      </w:r>
    </w:p>
    <w:p w14:paraId="5E5C158C"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14:paraId="0DB37900"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14:paraId="3935A002"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14:paraId="5948509B" w14:textId="77777777" w:rsidR="00A14361" w:rsidRDefault="007E469D">
      <w:pPr>
        <w:keepNext/>
        <w:numPr>
          <w:ilvl w:val="0"/>
          <w:numId w:val="9"/>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Staff Transfer when the contract ends</w:t>
      </w:r>
    </w:p>
    <w:p w14:paraId="46492905"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FB76F11"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s="Arial"/>
          <w:color w:val="000000"/>
          <w:sz w:val="24"/>
          <w:szCs w:val="24"/>
        </w:rPr>
        <w:t>ofPAYE</w:t>
      </w:r>
      <w:proofErr w:type="spellEnd"/>
      <w:r>
        <w:rPr>
          <w:rFonts w:ascii="Arial" w:eastAsia="Arial" w:hAnsi="Arial" w:cs="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3B2CDF9A"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5" w:name="_heading=h.34g0dwd" w:colFirst="0" w:colLast="0"/>
      <w:bookmarkEnd w:id="15"/>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38AFDAC"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6328A73"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14:paraId="1BF624E3" w14:textId="77777777" w:rsidR="00A14361" w:rsidRDefault="007E469D">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14:paraId="4CF1DA67" w14:textId="77777777" w:rsidR="00A14361" w:rsidRDefault="007E469D">
      <w:pPr>
        <w:pStyle w:val="Heading5"/>
        <w:numPr>
          <w:ilvl w:val="4"/>
          <w:numId w:val="18"/>
        </w:numPr>
        <w:ind w:left="3402" w:hanging="1134"/>
        <w:rPr>
          <w:rFonts w:ascii="Arial" w:eastAsia="Arial" w:hAnsi="Arial" w:cs="Arial"/>
          <w:sz w:val="24"/>
          <w:szCs w:val="24"/>
        </w:rPr>
      </w:pPr>
      <w:r>
        <w:rPr>
          <w:rFonts w:ascii="Arial" w:eastAsia="Arial" w:hAnsi="Arial" w:cs="Arial"/>
          <w:sz w:val="24"/>
          <w:szCs w:val="24"/>
        </w:rPr>
        <w:t>any other custom or practice with a trade union or staff association in respect of any Transferring Supplier Employees which the Supplier or any Subcontractor is contractually bound to honour;</w:t>
      </w:r>
    </w:p>
    <w:p w14:paraId="75547543"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16" w:name="_heading=h.1jlao46" w:colFirst="0" w:colLast="0"/>
      <w:bookmarkEnd w:id="16"/>
      <w:r>
        <w:rPr>
          <w:rFonts w:ascii="Arial" w:eastAsia="Arial" w:hAnsi="Arial" w:cs="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44236EFF"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1E65F698" w14:textId="77777777" w:rsidR="00A14361" w:rsidRDefault="007E469D">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8B1E369" w14:textId="77777777" w:rsidR="00A14361" w:rsidRDefault="007E469D">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6B6E03D7"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769640FE"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D485412"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ACE23DC" w14:textId="77777777" w:rsidR="00A14361" w:rsidRDefault="00A14361">
      <w:pPr>
        <w:pBdr>
          <w:top w:val="nil"/>
          <w:left w:val="nil"/>
          <w:bottom w:val="nil"/>
          <w:right w:val="nil"/>
          <w:between w:val="nil"/>
        </w:pBdr>
        <w:spacing w:before="120" w:after="120"/>
        <w:ind w:left="2214" w:hanging="1080"/>
        <w:rPr>
          <w:rFonts w:ascii="Arial" w:eastAsia="Arial" w:hAnsi="Arial" w:cs="Arial"/>
          <w:color w:val="000000"/>
          <w:sz w:val="24"/>
          <w:szCs w:val="24"/>
        </w:rPr>
      </w:pPr>
    </w:p>
    <w:p w14:paraId="3142895D"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7" w:name="_heading=h.43ky6rz" w:colFirst="0" w:colLast="0"/>
      <w:bookmarkEnd w:id="17"/>
      <w:r>
        <w:rPr>
          <w:rFonts w:ascii="Arial" w:eastAsia="Arial" w:hAnsi="Arial" w:cs="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609C717A"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6CBA341A"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arising from the Replacement Supplier’s failure, and/or Replacement Subcontractor’s failure, to comply with its obligations under the Employment Regulations.</w:t>
      </w:r>
    </w:p>
    <w:p w14:paraId="3E6DC108" w14:textId="77777777" w:rsidR="00A14361" w:rsidRDefault="00A14361">
      <w:pPr>
        <w:pBdr>
          <w:top w:val="nil"/>
          <w:left w:val="nil"/>
          <w:bottom w:val="nil"/>
          <w:right w:val="nil"/>
          <w:between w:val="nil"/>
        </w:pBdr>
        <w:spacing w:before="120" w:after="120"/>
        <w:ind w:left="1134" w:hanging="1080"/>
        <w:rPr>
          <w:color w:val="000000"/>
        </w:rPr>
      </w:pPr>
    </w:p>
    <w:p w14:paraId="139325DA"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8" w:name="_heading=h.2iq8gzs" w:colFirst="0" w:colLast="0"/>
      <w:bookmarkEnd w:id="18"/>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0F1FDCC9"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19" w:name="_heading=h.xvir7l" w:colFirst="0" w:colLast="0"/>
      <w:bookmarkEnd w:id="19"/>
      <w:r>
        <w:rPr>
          <w:rFonts w:ascii="Arial" w:eastAsia="Arial" w:hAnsi="Arial" w:cs="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5465D486"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0" w:name="_heading=h.3hv69ve" w:colFirst="0" w:colLast="0"/>
      <w:bookmarkEnd w:id="20"/>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6196F9C9"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7F97D71"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1" w:name="_heading=h.1x0gk37" w:colFirst="0" w:colLast="0"/>
      <w:bookmarkEnd w:id="21"/>
      <w:r>
        <w:rPr>
          <w:rFonts w:ascii="Arial" w:eastAsia="Arial" w:hAnsi="Arial" w:cs="Arial"/>
          <w:color w:val="000000"/>
          <w:sz w:val="24"/>
          <w:szCs w:val="24"/>
        </w:rPr>
        <w:t xml:space="preserve">If after the 15 Working Day period specified in Paragraph 2.5.2 has elapsed: </w:t>
      </w:r>
    </w:p>
    <w:p w14:paraId="394E47B2"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14:paraId="0B214405"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14:paraId="163B2AD1"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14:paraId="76E653D6" w14:textId="77777777" w:rsidR="00A14361" w:rsidRDefault="007E469D">
      <w:pPr>
        <w:pBdr>
          <w:top w:val="nil"/>
          <w:left w:val="nil"/>
          <w:bottom w:val="nil"/>
          <w:right w:val="nil"/>
          <w:between w:val="nil"/>
        </w:pBdr>
        <w:spacing w:before="120" w:after="120"/>
        <w:ind w:left="708"/>
        <w:rPr>
          <w:rFonts w:ascii="Arial" w:eastAsia="Arial" w:hAnsi="Arial" w:cs="Arial"/>
          <w:color w:val="000000"/>
          <w:sz w:val="24"/>
          <w:szCs w:val="24"/>
        </w:rPr>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D2B369E"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7DDB5197" w14:textId="77777777" w:rsidR="00A14361" w:rsidRDefault="007E469D">
      <w:pPr>
        <w:keepNext/>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2" w:name="_heading=h.4h042r0" w:colFirst="0" w:colLast="0"/>
      <w:bookmarkEnd w:id="22"/>
      <w:r>
        <w:rPr>
          <w:rFonts w:ascii="Arial" w:eastAsia="Arial" w:hAnsi="Arial" w:cs="Arial"/>
          <w:color w:val="000000"/>
          <w:sz w:val="24"/>
          <w:szCs w:val="24"/>
        </w:rPr>
        <w:t xml:space="preserve">The indemnity in Paragraph 2.8: </w:t>
      </w:r>
    </w:p>
    <w:p w14:paraId="61D61A58"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14:paraId="6DBD91FC" w14:textId="77777777" w:rsidR="00A14361" w:rsidRDefault="007E469D">
      <w:pPr>
        <w:numPr>
          <w:ilvl w:val="3"/>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for: </w:t>
      </w:r>
    </w:p>
    <w:p w14:paraId="1C965F98" w14:textId="77777777" w:rsidR="00A14361" w:rsidRDefault="007E469D">
      <w:pPr>
        <w:numPr>
          <w:ilvl w:val="5"/>
          <w:numId w:val="9"/>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14:paraId="4FDE0530" w14:textId="77777777" w:rsidR="00A14361" w:rsidRDefault="007E469D">
      <w:pPr>
        <w:numPr>
          <w:ilvl w:val="5"/>
          <w:numId w:val="9"/>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equal pay or compensation for less favourable treatment of part-time workers or fixed-term employees, </w:t>
      </w:r>
    </w:p>
    <w:p w14:paraId="1379DA68" w14:textId="77777777" w:rsidR="00A14361" w:rsidRDefault="007E469D">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14:paraId="44BC84B3" w14:textId="77777777" w:rsidR="00A14361" w:rsidRDefault="007E469D">
      <w:pPr>
        <w:numPr>
          <w:ilvl w:val="3"/>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claim that the termination of employment was unfair because the Replacement Supplier and/or Replacement Subcontractor neglected to follow a fair dismissal procedure; and </w:t>
      </w:r>
    </w:p>
    <w:p w14:paraId="0F3B945B"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bookmarkStart w:id="23" w:name="_heading=h.2w5ecyt" w:colFirst="0" w:colLast="0"/>
      <w:bookmarkEnd w:id="23"/>
      <w:r>
        <w:rPr>
          <w:rFonts w:ascii="Arial" w:eastAsia="Arial" w:hAnsi="Arial" w:cs="Arial"/>
          <w:color w:val="000000"/>
          <w:sz w:val="24"/>
          <w:szCs w:val="24"/>
        </w:rPr>
        <w:t>shall apply only where the notification referred to in Paragraph 2.5.1 is made by the Replacement Supplier and/or Replacement Subcontractor to the Supplier within 6 months of the Service Transfer Date..</w:t>
      </w:r>
    </w:p>
    <w:p w14:paraId="7BB72BEA"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3D1CAD70"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0367E3A" w14:textId="77777777" w:rsidR="00A14361" w:rsidRDefault="007E469D">
      <w:pPr>
        <w:pStyle w:val="Heading4"/>
        <w:numPr>
          <w:ilvl w:val="3"/>
          <w:numId w:val="2"/>
        </w:numPr>
        <w:rPr>
          <w:rFonts w:ascii="Arial" w:eastAsia="Arial" w:hAnsi="Arial" w:cs="Arial"/>
          <w:sz w:val="24"/>
          <w:szCs w:val="24"/>
        </w:rPr>
      </w:pPr>
      <w:r>
        <w:rPr>
          <w:rFonts w:ascii="Arial" w:eastAsia="Arial" w:hAnsi="Arial" w:cs="Arial"/>
          <w:sz w:val="24"/>
          <w:szCs w:val="24"/>
        </w:rPr>
        <w:t>the Supplier and/or any Subcontractor; and</w:t>
      </w:r>
    </w:p>
    <w:p w14:paraId="15953710" w14:textId="77777777" w:rsidR="00A14361" w:rsidRDefault="007E469D">
      <w:pPr>
        <w:pStyle w:val="Heading4"/>
        <w:numPr>
          <w:ilvl w:val="3"/>
          <w:numId w:val="2"/>
        </w:numPr>
        <w:rPr>
          <w:rFonts w:ascii="Arial" w:eastAsia="Arial" w:hAnsi="Arial" w:cs="Arial"/>
          <w:sz w:val="24"/>
          <w:szCs w:val="24"/>
        </w:rPr>
      </w:pPr>
      <w:r>
        <w:rPr>
          <w:rFonts w:ascii="Arial" w:eastAsia="Arial" w:hAnsi="Arial" w:cs="Arial"/>
          <w:sz w:val="24"/>
          <w:szCs w:val="24"/>
        </w:rPr>
        <w:t>the Replacement Supplier and/or the Replacement Subcontractor.</w:t>
      </w:r>
    </w:p>
    <w:p w14:paraId="186E18F0" w14:textId="77777777" w:rsidR="00A14361" w:rsidRDefault="00A14361">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14:paraId="52BF6489"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4" w:name="_heading=h.1baon6m" w:colFirst="0" w:colLast="0"/>
      <w:bookmarkEnd w:id="24"/>
      <w:r>
        <w:rPr>
          <w:rFonts w:ascii="Arial" w:eastAsia="Arial" w:hAnsi="Arial" w:cs="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380C233" w14:textId="77777777" w:rsidR="00A14361" w:rsidRDefault="007E469D">
      <w:pPr>
        <w:numPr>
          <w:ilvl w:val="1"/>
          <w:numId w:val="9"/>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5" w:name="_heading=h.3vac5uf" w:colFirst="0" w:colLast="0"/>
      <w:bookmarkEnd w:id="25"/>
      <w:r>
        <w:rPr>
          <w:rFonts w:ascii="Arial" w:eastAsia="Arial" w:hAnsi="Arial" w:cs="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DA6DD9E"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590CDFE"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14:paraId="6F3B49B6" w14:textId="77777777" w:rsidR="00A14361" w:rsidRDefault="007E469D">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Supplier Employees identified in the Supplier’s Final Supplier Personnel List; and/or </w:t>
      </w:r>
    </w:p>
    <w:p w14:paraId="5087AD0C" w14:textId="77777777" w:rsidR="00A14361" w:rsidRDefault="007E469D">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00068ECA"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6A07E4D"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61A1C2E"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52B7C76D"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14:paraId="6F6A897F" w14:textId="77777777" w:rsidR="00A14361" w:rsidRDefault="007E469D">
      <w:pPr>
        <w:pStyle w:val="Heading5"/>
        <w:numPr>
          <w:ilvl w:val="4"/>
          <w:numId w:val="10"/>
        </w:numPr>
        <w:ind w:left="3544" w:hanging="1276"/>
        <w:rPr>
          <w:rFonts w:ascii="Arial" w:eastAsia="Arial" w:hAnsi="Arial" w:cs="Arial"/>
          <w:sz w:val="24"/>
          <w:szCs w:val="24"/>
        </w:rPr>
      </w:pPr>
      <w:r>
        <w:rPr>
          <w:rFonts w:ascii="Arial" w:eastAsia="Arial" w:hAnsi="Arial" w:cs="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529B25D" w14:textId="77777777" w:rsidR="00A14361" w:rsidRDefault="007E469D">
      <w:pPr>
        <w:pStyle w:val="Heading5"/>
        <w:numPr>
          <w:ilvl w:val="4"/>
          <w:numId w:val="10"/>
        </w:numPr>
        <w:ind w:left="3544" w:hanging="1276"/>
        <w:rPr>
          <w:rFonts w:ascii="Arial" w:eastAsia="Arial" w:hAnsi="Arial" w:cs="Arial"/>
          <w:sz w:val="24"/>
          <w:szCs w:val="24"/>
        </w:rPr>
      </w:pPr>
      <w:r>
        <w:rPr>
          <w:rFonts w:ascii="Arial" w:eastAsia="Arial" w:hAnsi="Arial" w:cs="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BAC82EA"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426F869" w14:textId="77777777" w:rsidR="00A14361" w:rsidRDefault="007E469D">
      <w:pPr>
        <w:numPr>
          <w:ilvl w:val="2"/>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614D732" w14:textId="77777777" w:rsidR="00A14361" w:rsidRDefault="00A14361">
      <w:pPr>
        <w:pBdr>
          <w:top w:val="nil"/>
          <w:left w:val="nil"/>
          <w:bottom w:val="nil"/>
          <w:right w:val="nil"/>
          <w:between w:val="nil"/>
        </w:pBdr>
        <w:spacing w:before="120" w:after="120"/>
        <w:ind w:left="2214" w:hanging="1080"/>
        <w:rPr>
          <w:rFonts w:ascii="Arial" w:eastAsia="Arial" w:hAnsi="Arial" w:cs="Arial"/>
          <w:color w:val="000000"/>
          <w:sz w:val="24"/>
          <w:szCs w:val="24"/>
        </w:rPr>
      </w:pPr>
    </w:p>
    <w:p w14:paraId="3890672A" w14:textId="77777777" w:rsidR="00A14361" w:rsidRDefault="007E469D">
      <w:pPr>
        <w:keepNext/>
        <w:numPr>
          <w:ilvl w:val="1"/>
          <w:numId w:val="9"/>
        </w:numPr>
        <w:pBdr>
          <w:top w:val="nil"/>
          <w:left w:val="nil"/>
          <w:bottom w:val="nil"/>
          <w:right w:val="nil"/>
          <w:between w:val="nil"/>
        </w:pBdr>
        <w:tabs>
          <w:tab w:val="left" w:pos="993"/>
        </w:tabs>
        <w:spacing w:before="120" w:after="120"/>
        <w:ind w:left="357"/>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A1436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9E25" w14:textId="77777777" w:rsidR="00430818" w:rsidRDefault="00430818">
      <w:pPr>
        <w:spacing w:after="0"/>
      </w:pPr>
      <w:r>
        <w:separator/>
      </w:r>
    </w:p>
  </w:endnote>
  <w:endnote w:type="continuationSeparator" w:id="0">
    <w:p w14:paraId="71F04869" w14:textId="77777777" w:rsidR="00430818" w:rsidRDefault="0043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C1C5" w14:textId="77777777" w:rsidR="00A14361" w:rsidRDefault="00A14361">
    <w:pPr>
      <w:tabs>
        <w:tab w:val="center" w:pos="4513"/>
        <w:tab w:val="right" w:pos="9026"/>
      </w:tabs>
      <w:spacing w:after="0"/>
      <w:rPr>
        <w:rFonts w:ascii="Arial" w:eastAsia="Arial" w:hAnsi="Arial" w:cs="Arial"/>
        <w:color w:val="A6A6A6"/>
        <w:sz w:val="20"/>
        <w:szCs w:val="20"/>
      </w:rPr>
    </w:pPr>
  </w:p>
  <w:p w14:paraId="6ED35ECF" w14:textId="77777777" w:rsidR="00A14361" w:rsidRDefault="007E469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p>
  <w:p w14:paraId="3DE9120A" w14:textId="77777777" w:rsidR="00A14361" w:rsidRDefault="007E469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165DBFB" w14:textId="77777777" w:rsidR="00A14361" w:rsidRDefault="007E469D">
    <w:pPr>
      <w:spacing w:after="0"/>
      <w:rPr>
        <w:rFonts w:ascii="Arial" w:eastAsia="Arial" w:hAnsi="Arial" w:cs="Arial"/>
        <w:color w:val="A6A6A6"/>
        <w:sz w:val="20"/>
        <w:szCs w:val="20"/>
      </w:rPr>
    </w:pPr>
    <w:r>
      <w:rPr>
        <w:rFonts w:ascii="Arial" w:eastAsia="Arial" w:hAnsi="Arial" w:cs="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7F9E" w14:textId="77777777" w:rsidR="00A14361" w:rsidRDefault="00A14361">
    <w:pPr>
      <w:tabs>
        <w:tab w:val="center" w:pos="4513"/>
        <w:tab w:val="right" w:pos="9026"/>
      </w:tabs>
      <w:spacing w:after="0"/>
      <w:rPr>
        <w:rFonts w:ascii="Arial" w:eastAsia="Arial" w:hAnsi="Arial" w:cs="Arial"/>
        <w:color w:val="A6A6A6"/>
        <w:sz w:val="20"/>
        <w:szCs w:val="20"/>
      </w:rPr>
    </w:pPr>
  </w:p>
  <w:p w14:paraId="23DEA119" w14:textId="77777777" w:rsidR="00A14361" w:rsidRDefault="007E469D">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ED7079C" w14:textId="77777777" w:rsidR="00A14361" w:rsidRDefault="007E469D">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A4BC91C" w14:textId="77777777" w:rsidR="00A14361" w:rsidRDefault="007E469D">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0229" w14:textId="77777777" w:rsidR="00430818" w:rsidRDefault="00430818">
      <w:pPr>
        <w:spacing w:after="0"/>
      </w:pPr>
      <w:r>
        <w:separator/>
      </w:r>
    </w:p>
  </w:footnote>
  <w:footnote w:type="continuationSeparator" w:id="0">
    <w:p w14:paraId="66DB7BC9" w14:textId="77777777" w:rsidR="00430818" w:rsidRDefault="004308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E10C" w14:textId="77777777" w:rsidR="00A14361" w:rsidRDefault="007E469D">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2 (Staff Transfer)</w:t>
    </w:r>
  </w:p>
  <w:p w14:paraId="7AF37A46" w14:textId="77777777" w:rsidR="00A14361" w:rsidRDefault="007E469D">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Call-Off Ref: </w:t>
    </w:r>
  </w:p>
  <w:p w14:paraId="69A6C55D" w14:textId="77777777" w:rsidR="00A14361" w:rsidRDefault="007E469D">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p w14:paraId="3DEE7D64" w14:textId="77777777" w:rsidR="00A14361" w:rsidRDefault="00A14361">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1ECF" w14:textId="77777777" w:rsidR="00A14361" w:rsidRDefault="00A14361">
    <w:pPr>
      <w:pBdr>
        <w:top w:val="nil"/>
        <w:left w:val="nil"/>
        <w:bottom w:val="nil"/>
        <w:right w:val="nil"/>
        <w:between w:val="nil"/>
      </w:pBdr>
      <w:tabs>
        <w:tab w:val="center" w:pos="4513"/>
        <w:tab w:val="right" w:pos="9026"/>
      </w:tabs>
      <w:spacing w:after="0"/>
      <w:rPr>
        <w:color w:val="000000"/>
      </w:rPr>
    </w:pPr>
  </w:p>
  <w:p w14:paraId="45CCE0B0" w14:textId="77777777" w:rsidR="00A14361" w:rsidRDefault="00A14361">
    <w:pPr>
      <w:pBdr>
        <w:top w:val="nil"/>
        <w:left w:val="nil"/>
        <w:bottom w:val="nil"/>
        <w:right w:val="nil"/>
        <w:between w:val="nil"/>
      </w:pBdr>
      <w:tabs>
        <w:tab w:val="center" w:pos="4513"/>
        <w:tab w:val="right" w:pos="9026"/>
      </w:tabs>
      <w:spacing w:after="0"/>
      <w:rPr>
        <w:color w:val="000000"/>
      </w:rPr>
    </w:pPr>
  </w:p>
  <w:p w14:paraId="5FD49295" w14:textId="77777777" w:rsidR="00A14361" w:rsidRDefault="00A1436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434C"/>
    <w:multiLevelType w:val="multilevel"/>
    <w:tmpl w:val="E2707D2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6FD4B85"/>
    <w:multiLevelType w:val="multilevel"/>
    <w:tmpl w:val="E69689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B4E5FB2"/>
    <w:multiLevelType w:val="multilevel"/>
    <w:tmpl w:val="003429C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4BD4B42"/>
    <w:multiLevelType w:val="multilevel"/>
    <w:tmpl w:val="AD58BB5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6352977"/>
    <w:multiLevelType w:val="multilevel"/>
    <w:tmpl w:val="FF806C4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83E3F66"/>
    <w:multiLevelType w:val="multilevel"/>
    <w:tmpl w:val="C3B81D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1A514AF0"/>
    <w:multiLevelType w:val="multilevel"/>
    <w:tmpl w:val="4628F80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1BA2396E"/>
    <w:multiLevelType w:val="multilevel"/>
    <w:tmpl w:val="DD1874B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20B610F8"/>
    <w:multiLevelType w:val="multilevel"/>
    <w:tmpl w:val="5462B2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1627735"/>
    <w:multiLevelType w:val="multilevel"/>
    <w:tmpl w:val="14123D6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9E86683"/>
    <w:multiLevelType w:val="multilevel"/>
    <w:tmpl w:val="D840BA2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2CFB4D36"/>
    <w:multiLevelType w:val="multilevel"/>
    <w:tmpl w:val="8FB228B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D973112"/>
    <w:multiLevelType w:val="multilevel"/>
    <w:tmpl w:val="58E82C8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3B9B5AE0"/>
    <w:multiLevelType w:val="multilevel"/>
    <w:tmpl w:val="3A7AC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FBB34A7"/>
    <w:multiLevelType w:val="multilevel"/>
    <w:tmpl w:val="37EA9D2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4AFE2738"/>
    <w:multiLevelType w:val="multilevel"/>
    <w:tmpl w:val="98A09EF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C0358F7"/>
    <w:multiLevelType w:val="multilevel"/>
    <w:tmpl w:val="96DC149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3307102"/>
    <w:multiLevelType w:val="multilevel"/>
    <w:tmpl w:val="56E4BC1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66D66E86"/>
    <w:multiLevelType w:val="multilevel"/>
    <w:tmpl w:val="D8B07DA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3"/>
  </w:num>
  <w:num w:numId="2">
    <w:abstractNumId w:val="17"/>
  </w:num>
  <w:num w:numId="3">
    <w:abstractNumId w:val="6"/>
  </w:num>
  <w:num w:numId="4">
    <w:abstractNumId w:val="11"/>
  </w:num>
  <w:num w:numId="5">
    <w:abstractNumId w:val="7"/>
  </w:num>
  <w:num w:numId="6">
    <w:abstractNumId w:val="8"/>
  </w:num>
  <w:num w:numId="7">
    <w:abstractNumId w:val="16"/>
  </w:num>
  <w:num w:numId="8">
    <w:abstractNumId w:val="1"/>
  </w:num>
  <w:num w:numId="9">
    <w:abstractNumId w:val="10"/>
  </w:num>
  <w:num w:numId="10">
    <w:abstractNumId w:val="0"/>
  </w:num>
  <w:num w:numId="11">
    <w:abstractNumId w:val="12"/>
  </w:num>
  <w:num w:numId="12">
    <w:abstractNumId w:val="5"/>
  </w:num>
  <w:num w:numId="13">
    <w:abstractNumId w:val="2"/>
  </w:num>
  <w:num w:numId="14">
    <w:abstractNumId w:val="15"/>
  </w:num>
  <w:num w:numId="15">
    <w:abstractNumId w:val="13"/>
  </w:num>
  <w:num w:numId="16">
    <w:abstractNumId w:val="14"/>
  </w:num>
  <w:num w:numId="17">
    <w:abstractNumId w:val="18"/>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61"/>
    <w:rsid w:val="0031498E"/>
    <w:rsid w:val="00430818"/>
    <w:rsid w:val="007E469D"/>
    <w:rsid w:val="00A14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FFE48"/>
  <w15:docId w15:val="{25356BF1-9091-4931-B7FE-037F15C1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jc w:val="center"/>
      <w:outlineLvl w:val="0"/>
    </w:pPr>
    <w:rPr>
      <w:rFonts w:ascii="Trebuchet MS" w:eastAsia="Trebuchet MS" w:hAnsi="Trebuchet MS" w:cs="Trebuchet MS"/>
      <w:b/>
      <w:smallCaps/>
    </w:rPr>
  </w:style>
  <w:style w:type="paragraph" w:styleId="Heading2">
    <w:name w:val="heading 2"/>
    <w:basedOn w:val="Normal"/>
    <w:next w:val="Normal"/>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Normal"/>
    <w:uiPriority w:val="9"/>
    <w:unhideWhenUsed/>
    <w:qFormat/>
    <w:pPr>
      <w:keepLines/>
      <w:outlineLvl w:val="2"/>
    </w:pPr>
    <w:rPr>
      <w:rFonts w:ascii="Trebuchet MS" w:eastAsia="Trebuchet MS" w:hAnsi="Trebuchet MS" w:cs="Trebuchet MS"/>
    </w:rPr>
  </w:style>
  <w:style w:type="paragraph" w:styleId="Heading4">
    <w:name w:val="heading 4"/>
    <w:basedOn w:val="Normal"/>
    <w:next w:val="Normal"/>
    <w:uiPriority w:val="9"/>
    <w:unhideWhenUsed/>
    <w:qFormat/>
    <w:pPr>
      <w:keepLines/>
      <w:outlineLvl w:val="3"/>
    </w:pPr>
    <w:rPr>
      <w:rFonts w:ascii="Trebuchet MS" w:eastAsia="Trebuchet MS" w:hAnsi="Trebuchet MS" w:cs="Trebuchet MS"/>
    </w:rPr>
  </w:style>
  <w:style w:type="paragraph" w:styleId="Heading5">
    <w:name w:val="heading 5"/>
    <w:basedOn w:val="Normal"/>
    <w:next w:val="Normal"/>
    <w:uiPriority w:val="9"/>
    <w:unhideWhenUsed/>
    <w:qFormat/>
    <w:pPr>
      <w:keepLines/>
      <w:outlineLvl w:val="4"/>
    </w:pPr>
    <w:rPr>
      <w:rFonts w:ascii="Trebuchet MS" w:eastAsia="Trebuchet MS" w:hAnsi="Trebuchet MS" w:cs="Trebuchet MS"/>
    </w:rPr>
  </w:style>
  <w:style w:type="paragraph" w:styleId="Heading6">
    <w:name w:val="heading 6"/>
    <w:basedOn w:val="Normal"/>
    <w:next w:val="Normal"/>
    <w:uiPriority w:val="9"/>
    <w:semiHidden/>
    <w:unhideWhenUsed/>
    <w:qFormat/>
    <w:pPr>
      <w:spacing w:line="360" w:lineRule="auto"/>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line="360" w:lineRule="auto"/>
      <w:jc w:val="center"/>
    </w:pPr>
    <w:rPr>
      <w:rFonts w:ascii="Arial" w:eastAsia="Arial" w:hAnsi="Arial" w:cs="Arial"/>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left="360" w:hanging="360"/>
    </w:pPr>
    <w:rPr>
      <w:color w:val="000000"/>
    </w:rPr>
    <w:tblPr>
      <w:tblStyleRowBandSize w:val="1"/>
      <w:tblStyleColBandSize w:val="1"/>
      <w:tblCellMar>
        <w:left w:w="115" w:type="dxa"/>
        <w:right w:w="115" w:type="dxa"/>
      </w:tblCellMar>
    </w:tblPr>
  </w:style>
  <w:style w:type="table" w:customStyle="1" w:styleId="a0">
    <w:basedOn w:val="TableNormal"/>
    <w:pPr>
      <w:ind w:left="360" w:hanging="360"/>
    </w:pPr>
    <w:rPr>
      <w:color w:val="000000"/>
    </w:rPr>
    <w:tblPr>
      <w:tblStyleRowBandSize w:val="1"/>
      <w:tblStyleColBandSize w:val="1"/>
      <w:tblCellMar>
        <w:left w:w="115" w:type="dxa"/>
        <w:right w:w="115" w:type="dxa"/>
      </w:tblCellMar>
    </w:tblPr>
  </w:style>
  <w:style w:type="table" w:customStyle="1" w:styleId="a1">
    <w:basedOn w:val="TableNormal"/>
    <w:pPr>
      <w:ind w:left="360" w:hanging="360"/>
    </w:pPr>
    <w:rPr>
      <w:color w:val="000000"/>
    </w:rPr>
    <w:tblPr>
      <w:tblStyleRowBandSize w:val="1"/>
      <w:tblStyleColBandSize w:val="1"/>
      <w:tblCellMar>
        <w:left w:w="115" w:type="dxa"/>
        <w:right w:w="115" w:type="dxa"/>
      </w:tblCellMar>
    </w:tblPr>
  </w:style>
  <w:style w:type="table" w:customStyle="1" w:styleId="a2">
    <w:basedOn w:val="TableNormal"/>
    <w:pPr>
      <w:ind w:left="360" w:hanging="360"/>
    </w:pPr>
    <w:rPr>
      <w:color w:val="000000"/>
    </w:rPr>
    <w:tblPr>
      <w:tblStyleRowBandSize w:val="1"/>
      <w:tblStyleColBandSize w:val="1"/>
      <w:tblCellMar>
        <w:left w:w="115" w:type="dxa"/>
        <w:right w:w="115" w:type="dxa"/>
      </w:tblCellMar>
    </w:tblPr>
  </w:style>
  <w:style w:type="table" w:customStyle="1" w:styleId="a3">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2F54C1"/>
    <w:pPr>
      <w:spacing w:after="0"/>
      <w:jc w:val="left"/>
    </w:pPr>
  </w:style>
  <w:style w:type="paragraph" w:styleId="BalloonText">
    <w:name w:val="Balloon Text"/>
    <w:basedOn w:val="Normal"/>
    <w:link w:val="BalloonTextChar"/>
    <w:uiPriority w:val="99"/>
    <w:semiHidden/>
    <w:unhideWhenUsed/>
    <w:rsid w:val="002F54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54C1"/>
    <w:rPr>
      <w:rFonts w:ascii="Segoe UI" w:hAnsi="Segoe UI" w:cs="Segoe UI"/>
      <w:sz w:val="18"/>
      <w:szCs w:val="18"/>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dqIOm1/2QBhVEG8nNJaPI06FA==">CgMxLjAyCGguZ2pkZ3hzMgloLjMwajB6bGwyCWguMWZvYjl0ZTIJaC4zem55c2g3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4AHIhMVNfUENHc0dGajZOZG04SkloYWFKNHZPNm1OX2xvSXR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5565</Words>
  <Characters>31721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Cox</dc:creator>
  <cp:lastModifiedBy>Sian Moulton</cp:lastModifiedBy>
  <cp:revision>2</cp:revision>
  <dcterms:created xsi:type="dcterms:W3CDTF">2025-01-14T13:24:00Z</dcterms:created>
  <dcterms:modified xsi:type="dcterms:W3CDTF">2025-01-14T13:24:00Z</dcterms:modified>
</cp:coreProperties>
</file>